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16FA1" w14:textId="18F23ED2" w:rsidR="00CD2B8E" w:rsidRPr="00996A67" w:rsidRDefault="00CD2B8E">
      <w:pPr>
        <w:rPr>
          <w:b/>
          <w:bCs/>
          <w:u w:val="single"/>
        </w:rPr>
      </w:pPr>
      <w:r w:rsidRPr="00996A67">
        <w:rPr>
          <w:b/>
          <w:bCs/>
          <w:u w:val="single"/>
        </w:rPr>
        <w:t>EVP FAQ:</w:t>
      </w:r>
    </w:p>
    <w:p w14:paraId="39B2D0D0" w14:textId="676AF405" w:rsidR="00CD2B8E" w:rsidRPr="00996A67" w:rsidRDefault="00CD2525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 xml:space="preserve">If </w:t>
      </w:r>
      <w:r w:rsidR="00CD2B8E" w:rsidRPr="00996A67">
        <w:rPr>
          <w:b/>
          <w:bCs/>
        </w:rPr>
        <w:t>the request comes from a software company that works with multiple different trucking companies, will they need credentials and a token for each trucking company?</w:t>
      </w:r>
    </w:p>
    <w:p w14:paraId="37C5AFA8" w14:textId="5F6AA0ED" w:rsidR="00BF55BC" w:rsidRDefault="00CD2525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84511D">
        <w:rPr>
          <w:color w:val="156082" w:themeColor="accent1"/>
        </w:rPr>
        <w:t xml:space="preserve">Yes, they will need to request on behalf of each trucking company. </w:t>
      </w:r>
    </w:p>
    <w:p w14:paraId="674BF6B5" w14:textId="77777777" w:rsidR="008064CB" w:rsidRPr="0002494C" w:rsidRDefault="008064CB" w:rsidP="008064CB">
      <w:pPr>
        <w:pStyle w:val="ListParagraph"/>
        <w:ind w:left="1440"/>
        <w:rPr>
          <w:color w:val="156082" w:themeColor="accent1"/>
        </w:rPr>
      </w:pPr>
    </w:p>
    <w:p w14:paraId="253C81B7" w14:textId="440D346F" w:rsidR="008064CB" w:rsidRPr="008064CB" w:rsidRDefault="00BF55BC" w:rsidP="008064CB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 xml:space="preserve">Can you please provide an estimate </w:t>
      </w:r>
      <w:proofErr w:type="gramStart"/>
      <w:r w:rsidRPr="00996A67">
        <w:rPr>
          <w:b/>
          <w:bCs/>
        </w:rPr>
        <w:t>on</w:t>
      </w:r>
      <w:proofErr w:type="gramEnd"/>
      <w:r w:rsidRPr="00996A67">
        <w:rPr>
          <w:b/>
          <w:bCs/>
        </w:rPr>
        <w:t xml:space="preserve"> when we will be required to cut over from the current system to the new APIs for availability?</w:t>
      </w:r>
    </w:p>
    <w:p w14:paraId="7F52D3E3" w14:textId="29F15E3F" w:rsidR="00BF55BC" w:rsidRDefault="00C625BF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694637">
        <w:rPr>
          <w:color w:val="156082" w:themeColor="accent1"/>
        </w:rPr>
        <w:t xml:space="preserve">Both API </w:t>
      </w:r>
      <w:r w:rsidR="00694637" w:rsidRPr="00694637">
        <w:rPr>
          <w:color w:val="156082" w:themeColor="accent1"/>
        </w:rPr>
        <w:t>platforms</w:t>
      </w:r>
      <w:r w:rsidRPr="00694637">
        <w:rPr>
          <w:color w:val="156082" w:themeColor="accent1"/>
        </w:rPr>
        <w:t xml:space="preserve"> will run concurrently until further notice</w:t>
      </w:r>
      <w:r w:rsidR="00694637" w:rsidRPr="00694637">
        <w:rPr>
          <w:color w:val="156082" w:themeColor="accent1"/>
        </w:rPr>
        <w:t xml:space="preserve"> – advance notice will be communicated when official cut off is required. </w:t>
      </w:r>
    </w:p>
    <w:p w14:paraId="4CED9435" w14:textId="77777777" w:rsidR="008064CB" w:rsidRPr="00BF55BC" w:rsidRDefault="008064CB" w:rsidP="008064CB">
      <w:pPr>
        <w:pStyle w:val="ListParagraph"/>
        <w:ind w:left="1440"/>
        <w:rPr>
          <w:color w:val="156082" w:themeColor="accent1"/>
        </w:rPr>
      </w:pPr>
    </w:p>
    <w:p w14:paraId="39259019" w14:textId="38A03679" w:rsidR="00694637" w:rsidRPr="00996A67" w:rsidRDefault="00BF55BC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Is there additional, detailed documentation about the Navis API data being returned and the allowed Filter parameters on a request for the new GetAvailableContainers endpoint for /inventory/units?</w:t>
      </w:r>
    </w:p>
    <w:p w14:paraId="72E7FA65" w14:textId="39204974" w:rsidR="00BF55BC" w:rsidRDefault="00BF55BC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5C0506">
        <w:rPr>
          <w:color w:val="156082" w:themeColor="accent1"/>
        </w:rPr>
        <w:t>The available examples are listed in the documents</w:t>
      </w:r>
      <w:r w:rsidR="00227E5F" w:rsidRPr="005C0506">
        <w:rPr>
          <w:color w:val="156082" w:themeColor="accent1"/>
        </w:rPr>
        <w:t>. If you are looking for a specific item, we can provide a</w:t>
      </w:r>
      <w:r w:rsidRPr="005C0506">
        <w:rPr>
          <w:color w:val="156082" w:themeColor="accent1"/>
        </w:rPr>
        <w:t xml:space="preserve"> response.</w:t>
      </w:r>
    </w:p>
    <w:p w14:paraId="426A87EC" w14:textId="77777777" w:rsidR="008064CB" w:rsidRPr="00BF55BC" w:rsidRDefault="008064CB" w:rsidP="008064CB">
      <w:pPr>
        <w:pStyle w:val="ListParagraph"/>
        <w:ind w:left="1440"/>
        <w:rPr>
          <w:color w:val="156082" w:themeColor="accent1"/>
        </w:rPr>
      </w:pPr>
    </w:p>
    <w:p w14:paraId="31D104A0" w14:textId="30A7E191" w:rsidR="005C0506" w:rsidRPr="00996A67" w:rsidRDefault="00BF55BC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Are the Terminal codes of PHA and PHABC still valid as parameters or will data from both be returned with a single request?</w:t>
      </w:r>
    </w:p>
    <w:p w14:paraId="3B7C3E9A" w14:textId="54DB98C7" w:rsidR="00BF55BC" w:rsidRDefault="00091CE1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091CE1">
        <w:rPr>
          <w:color w:val="156082" w:themeColor="accent1"/>
        </w:rPr>
        <w:t>Terminal codes for EVP are listed as Facility =BCT for Barbours cut</w:t>
      </w:r>
      <w:r w:rsidR="00CB1EFB">
        <w:rPr>
          <w:color w:val="156082" w:themeColor="accent1"/>
        </w:rPr>
        <w:t>,</w:t>
      </w:r>
      <w:r w:rsidRPr="00091CE1">
        <w:rPr>
          <w:color w:val="156082" w:themeColor="accent1"/>
        </w:rPr>
        <w:t xml:space="preserve"> BPT for Bayport</w:t>
      </w:r>
      <w:r w:rsidR="007C076B">
        <w:rPr>
          <w:color w:val="156082" w:themeColor="accent1"/>
        </w:rPr>
        <w:t xml:space="preserve"> and TBT for Turning Basin</w:t>
      </w:r>
      <w:r w:rsidRPr="00091CE1">
        <w:rPr>
          <w:color w:val="156082" w:themeColor="accent1"/>
        </w:rPr>
        <w:t xml:space="preserve">. If no facility is specified, </w:t>
      </w:r>
      <w:r w:rsidR="007C076B">
        <w:rPr>
          <w:color w:val="156082" w:themeColor="accent1"/>
        </w:rPr>
        <w:t>results for all</w:t>
      </w:r>
      <w:r w:rsidRPr="00091CE1">
        <w:rPr>
          <w:color w:val="156082" w:themeColor="accent1"/>
        </w:rPr>
        <w:t xml:space="preserve"> terminal</w:t>
      </w:r>
      <w:r w:rsidR="00CB1EFB">
        <w:rPr>
          <w:color w:val="156082" w:themeColor="accent1"/>
        </w:rPr>
        <w:t>s</w:t>
      </w:r>
      <w:r w:rsidRPr="00091CE1">
        <w:rPr>
          <w:color w:val="156082" w:themeColor="accent1"/>
        </w:rPr>
        <w:t xml:space="preserve"> will return. </w:t>
      </w:r>
    </w:p>
    <w:p w14:paraId="2905C8BB" w14:textId="77777777" w:rsidR="008064CB" w:rsidRPr="00BF55BC" w:rsidRDefault="008064CB" w:rsidP="008064CB">
      <w:pPr>
        <w:pStyle w:val="ListParagraph"/>
        <w:ind w:left="1440"/>
        <w:rPr>
          <w:color w:val="156082" w:themeColor="accent1"/>
        </w:rPr>
      </w:pPr>
    </w:p>
    <w:p w14:paraId="287A7655" w14:textId="5123C335" w:rsidR="00BF55BC" w:rsidRPr="00996A67" w:rsidRDefault="00BF55BC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 xml:space="preserve">What is the </w:t>
      </w:r>
      <w:r w:rsidR="00091CE1" w:rsidRPr="00996A67">
        <w:rPr>
          <w:b/>
          <w:bCs/>
        </w:rPr>
        <w:t>maximum number of units that can be requested at one time?</w:t>
      </w:r>
    </w:p>
    <w:p w14:paraId="20FFA53A" w14:textId="0291231F" w:rsidR="00091CE1" w:rsidRDefault="00BC4BE4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02494C">
        <w:rPr>
          <w:color w:val="156082" w:themeColor="accent1"/>
        </w:rPr>
        <w:t xml:space="preserve">While there </w:t>
      </w:r>
      <w:r w:rsidR="00303CD7" w:rsidRPr="0002494C">
        <w:rPr>
          <w:color w:val="156082" w:themeColor="accent1"/>
        </w:rPr>
        <w:t>is</w:t>
      </w:r>
      <w:r w:rsidRPr="0002494C">
        <w:rPr>
          <w:color w:val="156082" w:themeColor="accent1"/>
        </w:rPr>
        <w:t xml:space="preserve"> no set </w:t>
      </w:r>
      <w:r w:rsidR="00413683" w:rsidRPr="0002494C">
        <w:rPr>
          <w:color w:val="156082" w:themeColor="accent1"/>
        </w:rPr>
        <w:t xml:space="preserve">quantity </w:t>
      </w:r>
      <w:r w:rsidRPr="0002494C">
        <w:rPr>
          <w:color w:val="156082" w:themeColor="accent1"/>
        </w:rPr>
        <w:t>maximum</w:t>
      </w:r>
      <w:r w:rsidR="0002494C" w:rsidRPr="0002494C">
        <w:rPr>
          <w:color w:val="156082" w:themeColor="accent1"/>
        </w:rPr>
        <w:t xml:space="preserve"> or call volume maximum, we do advise you to take quantity and frequency into consideration as you build your filters,</w:t>
      </w:r>
      <w:r w:rsidRPr="0002494C">
        <w:rPr>
          <w:color w:val="156082" w:themeColor="accent1"/>
        </w:rPr>
        <w:t xml:space="preserve"> as </w:t>
      </w:r>
      <w:r w:rsidR="00303CD7" w:rsidRPr="0002494C">
        <w:rPr>
          <w:color w:val="156082" w:themeColor="accent1"/>
        </w:rPr>
        <w:t xml:space="preserve">high numbers </w:t>
      </w:r>
      <w:r w:rsidR="00A6543B">
        <w:rPr>
          <w:color w:val="156082" w:themeColor="accent1"/>
        </w:rPr>
        <w:t>can increase</w:t>
      </w:r>
      <w:r w:rsidR="00303CD7" w:rsidRPr="0002494C">
        <w:rPr>
          <w:color w:val="156082" w:themeColor="accent1"/>
        </w:rPr>
        <w:t xml:space="preserve"> re</w:t>
      </w:r>
      <w:r w:rsidR="00A6543B">
        <w:rPr>
          <w:color w:val="156082" w:themeColor="accent1"/>
        </w:rPr>
        <w:t>sponse</w:t>
      </w:r>
      <w:r w:rsidR="00303CD7" w:rsidRPr="0002494C">
        <w:rPr>
          <w:color w:val="156082" w:themeColor="accent1"/>
        </w:rPr>
        <w:t xml:space="preserve"> times. </w:t>
      </w:r>
    </w:p>
    <w:p w14:paraId="38D470B1" w14:textId="77777777" w:rsidR="008064CB" w:rsidRDefault="008064CB" w:rsidP="008064CB">
      <w:pPr>
        <w:pStyle w:val="ListParagraph"/>
        <w:ind w:left="1440"/>
        <w:rPr>
          <w:color w:val="156082" w:themeColor="accent1"/>
        </w:rPr>
      </w:pPr>
    </w:p>
    <w:p w14:paraId="138C19EC" w14:textId="033BE036" w:rsidR="00FE31DD" w:rsidRPr="00996A67" w:rsidRDefault="00390A59" w:rsidP="00FE31DD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How do you know if a container is available for pickup?</w:t>
      </w:r>
    </w:p>
    <w:p w14:paraId="0B3F0744" w14:textId="3B406C8F" w:rsidR="002C119A" w:rsidRPr="001A0934" w:rsidRDefault="002C119A" w:rsidP="003B4079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2C119A">
        <w:rPr>
          <w:color w:val="156082" w:themeColor="accent1"/>
        </w:rPr>
        <w:t>A container is considered available for pickup if it is physically in the yard and does not have any active holds.</w:t>
      </w:r>
      <w:r w:rsidR="003B4079" w:rsidRPr="001A0934">
        <w:rPr>
          <w:color w:val="156082" w:themeColor="accent1"/>
        </w:rPr>
        <w:t xml:space="preserve"> </w:t>
      </w:r>
      <w:r w:rsidRPr="001A0934">
        <w:rPr>
          <w:color w:val="156082" w:themeColor="accent1"/>
        </w:rPr>
        <w:t xml:space="preserve">You can determine this using the </w:t>
      </w:r>
      <w:r w:rsidRPr="001A0934">
        <w:rPr>
          <w:b/>
          <w:bCs/>
          <w:i/>
          <w:iCs/>
          <w:color w:val="156082" w:themeColor="accent1"/>
        </w:rPr>
        <w:t>transitState</w:t>
      </w:r>
      <w:r w:rsidRPr="001A0934">
        <w:rPr>
          <w:color w:val="156082" w:themeColor="accent1"/>
        </w:rPr>
        <w:t xml:space="preserve"> and </w:t>
      </w:r>
      <w:r w:rsidRPr="001A0934">
        <w:rPr>
          <w:b/>
          <w:bCs/>
          <w:i/>
          <w:iCs/>
          <w:color w:val="156082" w:themeColor="accent1"/>
        </w:rPr>
        <w:t>stopFlags</w:t>
      </w:r>
      <w:r w:rsidRPr="001A0934">
        <w:rPr>
          <w:color w:val="156082" w:themeColor="accent1"/>
        </w:rPr>
        <w:t xml:space="preserve"> fields:</w:t>
      </w:r>
    </w:p>
    <w:p w14:paraId="35295D30" w14:textId="77777777" w:rsidR="003B4079" w:rsidRPr="001A0934" w:rsidRDefault="003B4079" w:rsidP="00D25FDB">
      <w:pPr>
        <w:pStyle w:val="ListParagraph"/>
        <w:ind w:left="1440"/>
        <w:rPr>
          <w:i/>
          <w:iCs/>
          <w:color w:val="156082" w:themeColor="accent1"/>
        </w:rPr>
      </w:pPr>
    </w:p>
    <w:p w14:paraId="0C06630B" w14:textId="31917B06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b/>
          <w:bCs/>
          <w:i/>
          <w:iCs/>
          <w:color w:val="156082" w:themeColor="accent1"/>
        </w:rPr>
        <w:lastRenderedPageBreak/>
        <w:t>transitState</w:t>
      </w:r>
      <w:r w:rsidRPr="002C119A">
        <w:rPr>
          <w:color w:val="156082" w:themeColor="accent1"/>
        </w:rPr>
        <w:t xml:space="preserve"> → shows where the container is</w:t>
      </w:r>
    </w:p>
    <w:p w14:paraId="6C125E55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b/>
          <w:bCs/>
          <w:i/>
          <w:iCs/>
          <w:color w:val="156082" w:themeColor="accent1"/>
        </w:rPr>
        <w:t>stoppedRoad</w:t>
      </w:r>
      <w:r w:rsidRPr="002C119A">
        <w:rPr>
          <w:color w:val="156082" w:themeColor="accent1"/>
        </w:rPr>
        <w:t xml:space="preserve"> → shows whether there are active holds</w:t>
      </w:r>
    </w:p>
    <w:p w14:paraId="17B9CBB5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b/>
          <w:bCs/>
          <w:i/>
          <w:iCs/>
          <w:color w:val="156082" w:themeColor="accent1"/>
        </w:rPr>
        <w:t>impediments</w:t>
      </w:r>
      <w:r w:rsidRPr="002C119A">
        <w:rPr>
          <w:b/>
          <w:bCs/>
          <w:color w:val="156082" w:themeColor="accent1"/>
        </w:rPr>
        <w:t xml:space="preserve"> </w:t>
      </w:r>
      <w:r w:rsidRPr="002C119A">
        <w:rPr>
          <w:color w:val="156082" w:themeColor="accent1"/>
        </w:rPr>
        <w:t>→ provides hold details</w:t>
      </w:r>
    </w:p>
    <w:p w14:paraId="1297F6D3" w14:textId="77777777" w:rsidR="003B4079" w:rsidRPr="001A0934" w:rsidRDefault="003B4079" w:rsidP="00D25FDB">
      <w:pPr>
        <w:pStyle w:val="ListParagraph"/>
        <w:ind w:left="1440"/>
        <w:rPr>
          <w:color w:val="156082" w:themeColor="accent1"/>
        </w:rPr>
      </w:pPr>
    </w:p>
    <w:p w14:paraId="4DC896BA" w14:textId="0EE8C345" w:rsidR="002C119A" w:rsidRPr="002C119A" w:rsidRDefault="002C119A" w:rsidP="00D25FDB">
      <w:pPr>
        <w:pStyle w:val="ListParagraph"/>
        <w:ind w:left="1440"/>
        <w:rPr>
          <w:color w:val="156082" w:themeColor="accent1"/>
          <w:u w:val="single"/>
        </w:rPr>
      </w:pPr>
      <w:r w:rsidRPr="002C119A">
        <w:rPr>
          <w:color w:val="156082" w:themeColor="accent1"/>
          <w:u w:val="single"/>
        </w:rPr>
        <w:t>Logic:</w:t>
      </w:r>
    </w:p>
    <w:p w14:paraId="234B2B59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color w:val="156082" w:themeColor="accent1"/>
        </w:rPr>
        <w:t xml:space="preserve">If </w:t>
      </w:r>
      <w:r w:rsidRPr="002C119A">
        <w:rPr>
          <w:b/>
          <w:bCs/>
          <w:i/>
          <w:iCs/>
          <w:color w:val="156082" w:themeColor="accent1"/>
        </w:rPr>
        <w:t>transitState=S40_YARD</w:t>
      </w:r>
      <w:r w:rsidRPr="002C119A">
        <w:rPr>
          <w:color w:val="156082" w:themeColor="accent1"/>
        </w:rPr>
        <w:t xml:space="preserve"> and </w:t>
      </w:r>
      <w:r w:rsidRPr="002C119A">
        <w:rPr>
          <w:b/>
          <w:bCs/>
          <w:i/>
          <w:iCs/>
          <w:color w:val="156082" w:themeColor="accent1"/>
        </w:rPr>
        <w:t>stoppedRoad=false</w:t>
      </w:r>
      <w:r w:rsidRPr="002C119A">
        <w:rPr>
          <w:color w:val="156082" w:themeColor="accent1"/>
        </w:rPr>
        <w:t xml:space="preserve"> → the container is available for pickup.</w:t>
      </w:r>
    </w:p>
    <w:p w14:paraId="15CABDA4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color w:val="156082" w:themeColor="accent1"/>
        </w:rPr>
        <w:t xml:space="preserve">If </w:t>
      </w:r>
      <w:r w:rsidRPr="002C119A">
        <w:rPr>
          <w:b/>
          <w:bCs/>
          <w:i/>
          <w:iCs/>
          <w:color w:val="156082" w:themeColor="accent1"/>
        </w:rPr>
        <w:t>stoppedRoad=true</w:t>
      </w:r>
      <w:r w:rsidRPr="002C119A">
        <w:rPr>
          <w:color w:val="156082" w:themeColor="accent1"/>
        </w:rPr>
        <w:t xml:space="preserve"> → there is an active hold on the container (details can be found under </w:t>
      </w:r>
      <w:r w:rsidRPr="002C119A">
        <w:rPr>
          <w:b/>
          <w:bCs/>
          <w:i/>
          <w:iCs/>
          <w:color w:val="156082" w:themeColor="accent1"/>
        </w:rPr>
        <w:t>impediments</w:t>
      </w:r>
      <w:r w:rsidRPr="002C119A">
        <w:rPr>
          <w:color w:val="156082" w:themeColor="accent1"/>
        </w:rPr>
        <w:t>).</w:t>
      </w:r>
    </w:p>
    <w:p w14:paraId="643D3F3F" w14:textId="3166460F" w:rsidR="00390A59" w:rsidRPr="003B4079" w:rsidRDefault="00390A59" w:rsidP="00D25FDB">
      <w:pPr>
        <w:pStyle w:val="ListParagraph"/>
        <w:ind w:left="1440"/>
        <w:rPr>
          <w:color w:val="215E99" w:themeColor="text2" w:themeTint="BF"/>
        </w:rPr>
      </w:pPr>
    </w:p>
    <w:p w14:paraId="7B36426B" w14:textId="77777777" w:rsidR="00882A06" w:rsidRPr="00996A67" w:rsidRDefault="0029510A" w:rsidP="00882A06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How do I retrieve additional pages of results from a paginated response?</w:t>
      </w:r>
    </w:p>
    <w:p w14:paraId="57EAF406" w14:textId="7A009609" w:rsidR="00882A06" w:rsidRPr="00CC1119" w:rsidRDefault="00882A06" w:rsidP="00882A06">
      <w:pPr>
        <w:pStyle w:val="ListParagraph"/>
        <w:numPr>
          <w:ilvl w:val="1"/>
          <w:numId w:val="2"/>
        </w:numPr>
        <w:rPr>
          <w:color w:val="156082" w:themeColor="accent1"/>
          <w:sz w:val="28"/>
          <w:szCs w:val="28"/>
        </w:rPr>
      </w:pPr>
      <w:r w:rsidRPr="00CC1119">
        <w:rPr>
          <w:rFonts w:eastAsia="Times New Roman"/>
          <w:color w:val="156082" w:themeColor="accent1"/>
        </w:rPr>
        <w:t>To get the next page of results, you add the paging token included at the end of the response as a parameter in your request (&amp;next=&lt;</w:t>
      </w:r>
      <w:r w:rsidR="00CC1119" w:rsidRPr="00CC1119">
        <w:rPr>
          <w:rFonts w:eastAsia="Times New Roman"/>
          <w:color w:val="156082" w:themeColor="accent1"/>
        </w:rPr>
        <w:t>paging token</w:t>
      </w:r>
      <w:r w:rsidRPr="00CC1119">
        <w:rPr>
          <w:rFonts w:eastAsia="Times New Roman"/>
          <w:color w:val="156082" w:themeColor="accent1"/>
        </w:rPr>
        <w:t>&gt;).</w:t>
      </w:r>
    </w:p>
    <w:p w14:paraId="6A9B159D" w14:textId="40CB6057" w:rsidR="0029510A" w:rsidRPr="00CC1119" w:rsidRDefault="00CC1119" w:rsidP="00882A06">
      <w:pPr>
        <w:pStyle w:val="ListParagraph"/>
        <w:ind w:left="1440"/>
        <w:rPr>
          <w:sz w:val="28"/>
          <w:szCs w:val="28"/>
        </w:rPr>
      </w:pPr>
      <w:r w:rsidRPr="00CC1119">
        <w:rPr>
          <w:noProof/>
        </w:rPr>
        <w:drawing>
          <wp:inline distT="0" distB="0" distL="0" distR="0" wp14:anchorId="15C7C211" wp14:editId="45FF1F98">
            <wp:extent cx="2819400" cy="495300"/>
            <wp:effectExtent l="0" t="0" r="0" b="0"/>
            <wp:docPr id="5381463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7914B" w14:textId="77777777" w:rsidR="00CC1119" w:rsidRDefault="00CC1119" w:rsidP="00882A06">
      <w:pPr>
        <w:pStyle w:val="ListParagraph"/>
        <w:ind w:left="1440"/>
      </w:pPr>
    </w:p>
    <w:p w14:paraId="6FD16913" w14:textId="26E50D87" w:rsidR="00CC1119" w:rsidRDefault="00CC1119" w:rsidP="00882A06">
      <w:pPr>
        <w:pStyle w:val="ListParagraph"/>
        <w:ind w:left="1440"/>
      </w:pPr>
      <w:r>
        <w:rPr>
          <w:noProof/>
          <w:sz w:val="22"/>
          <w:szCs w:val="22"/>
        </w:rPr>
        <w:drawing>
          <wp:inline distT="0" distB="0" distL="0" distR="0" wp14:anchorId="41C37E9C" wp14:editId="1BDE213A">
            <wp:extent cx="5943600" cy="1828165"/>
            <wp:effectExtent l="0" t="0" r="0" b="635"/>
            <wp:docPr id="1660748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BE0E4" w14:textId="77777777" w:rsidR="00B24D6D" w:rsidRDefault="00B24D6D" w:rsidP="00882A06">
      <w:pPr>
        <w:pStyle w:val="ListParagraph"/>
        <w:ind w:left="1440"/>
      </w:pPr>
    </w:p>
    <w:p w14:paraId="187037B7" w14:textId="5A3AA69C" w:rsidR="00B24D6D" w:rsidRPr="00996A67" w:rsidRDefault="0019432B" w:rsidP="0019432B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Are there any additional costs for using the EVP API, creating subscriptions, or streaming events via WebSocket?</w:t>
      </w:r>
    </w:p>
    <w:p w14:paraId="4304FF65" w14:textId="48E5D64D" w:rsidR="0019432B" w:rsidRDefault="004E145D" w:rsidP="0019432B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4E145D">
        <w:rPr>
          <w:color w:val="156082" w:themeColor="accent1"/>
        </w:rPr>
        <w:t>No, the platform is free to use.</w:t>
      </w:r>
    </w:p>
    <w:p w14:paraId="4B7D33D3" w14:textId="77777777" w:rsidR="00006C1E" w:rsidRDefault="00006C1E" w:rsidP="00006C1E">
      <w:pPr>
        <w:pStyle w:val="ListParagraph"/>
        <w:ind w:left="1440"/>
        <w:rPr>
          <w:color w:val="156082" w:themeColor="accent1"/>
        </w:rPr>
      </w:pPr>
    </w:p>
    <w:p w14:paraId="14AE1074" w14:textId="1E77E300" w:rsidR="00006C1E" w:rsidRPr="00996A67" w:rsidRDefault="00006C1E" w:rsidP="00006C1E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How should timestamps be interpreted and converted?</w:t>
      </w:r>
    </w:p>
    <w:p w14:paraId="43AEF80C" w14:textId="77777777" w:rsidR="009B4966" w:rsidRDefault="003F49D7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3F49D7">
        <w:rPr>
          <w:color w:val="156082" w:themeColor="accent1"/>
        </w:rPr>
        <w:t xml:space="preserve">Timestamps in EVP responses are returned as epoch time in milliseconds (UTC). These values should be converted to a human-readable date/time and </w:t>
      </w:r>
      <w:r w:rsidRPr="009B4966">
        <w:rPr>
          <w:color w:val="156082" w:themeColor="accent1"/>
        </w:rPr>
        <w:lastRenderedPageBreak/>
        <w:t xml:space="preserve">adjusted to the terminal’s local </w:t>
      </w:r>
      <w:proofErr w:type="spellStart"/>
      <w:r w:rsidRPr="009B4966">
        <w:rPr>
          <w:color w:val="156082" w:themeColor="accent1"/>
        </w:rPr>
        <w:t>timezone</w:t>
      </w:r>
      <w:proofErr w:type="spellEnd"/>
      <w:r w:rsidRPr="009B4966">
        <w:rPr>
          <w:color w:val="156082" w:themeColor="accent1"/>
        </w:rPr>
        <w:t xml:space="preserve"> (Central Time / America/Chicago) as needed.</w:t>
      </w:r>
    </w:p>
    <w:p w14:paraId="77C421F7" w14:textId="77777777" w:rsidR="009B4966" w:rsidRDefault="009B4966" w:rsidP="009B4966">
      <w:pPr>
        <w:pStyle w:val="ListParagraph"/>
        <w:ind w:left="1440"/>
        <w:rPr>
          <w:color w:val="156082" w:themeColor="accent1"/>
        </w:rPr>
      </w:pPr>
    </w:p>
    <w:p w14:paraId="0C1681A8" w14:textId="3803C10D" w:rsidR="00996A67" w:rsidRPr="009B4966" w:rsidRDefault="00996A67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>Can I query multiple containers at once?</w:t>
      </w:r>
    </w:p>
    <w:p w14:paraId="71A0D7FA" w14:textId="755827BD" w:rsidR="00071935" w:rsidRDefault="00996A67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>Yes. Use the IN operator in the predicate parameter to retrieve multiple containers in a single request.</w:t>
      </w:r>
      <w:r w:rsidRPr="009B4966">
        <w:rPr>
          <w:color w:val="156082" w:themeColor="accent1"/>
        </w:rPr>
        <w:br/>
        <w:t>Example:</w:t>
      </w:r>
      <w:r w:rsidRPr="009B4966">
        <w:rPr>
          <w:color w:val="156082" w:themeColor="accent1"/>
        </w:rPr>
        <w:br/>
        <w:t>predicate=unitId%20in%20(MSBU8064909,OOLU9080473,CXDU210731)</w:t>
      </w:r>
    </w:p>
    <w:p w14:paraId="17CD73D8" w14:textId="77777777" w:rsidR="009B4966" w:rsidRPr="009B4966" w:rsidRDefault="009B4966" w:rsidP="009B4966">
      <w:pPr>
        <w:pStyle w:val="ListParagraph"/>
        <w:ind w:left="1440"/>
        <w:rPr>
          <w:color w:val="156082" w:themeColor="accent1"/>
        </w:rPr>
      </w:pPr>
    </w:p>
    <w:p w14:paraId="511BFEEE" w14:textId="5BF4380E" w:rsidR="00071935" w:rsidRPr="009B4966" w:rsidRDefault="00071935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 xml:space="preserve">How can I convert </w:t>
      </w:r>
      <w:r w:rsidR="008206C6" w:rsidRPr="009B4966">
        <w:rPr>
          <w:b/>
          <w:bCs/>
        </w:rPr>
        <w:t>all</w:t>
      </w:r>
      <w:r w:rsidRPr="009B4966">
        <w:rPr>
          <w:b/>
          <w:bCs/>
        </w:rPr>
        <w:t xml:space="preserve"> my LYNX API calls to EVP?</w:t>
      </w:r>
    </w:p>
    <w:p w14:paraId="6BA3A209" w14:textId="35ACE9E2" w:rsidR="00071935" w:rsidRPr="009B4966" w:rsidRDefault="00071935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 xml:space="preserve">Navigate to the “Converting API’s From Lynx to EVP” folder In the Documentation zip file provide on Port Houston’s Data integration page </w:t>
      </w:r>
      <w:hyperlink r:id="rId11" w:history="1">
        <w:r w:rsidRPr="009B4966">
          <w:rPr>
            <w:color w:val="156082" w:themeColor="accent1"/>
          </w:rPr>
          <w:t>here</w:t>
        </w:r>
      </w:hyperlink>
      <w:r w:rsidRPr="009B4966">
        <w:rPr>
          <w:color w:val="156082" w:themeColor="accent1"/>
        </w:rPr>
        <w:t>.</w:t>
      </w:r>
    </w:p>
    <w:p w14:paraId="6545D707" w14:textId="77777777" w:rsidR="009B4966" w:rsidRPr="009B4966" w:rsidRDefault="009B4966" w:rsidP="009B4966">
      <w:pPr>
        <w:pStyle w:val="ListParagraph"/>
        <w:ind w:left="1440"/>
      </w:pPr>
    </w:p>
    <w:p w14:paraId="66DFC6C2" w14:textId="5E887360" w:rsidR="00071935" w:rsidRPr="009B4966" w:rsidRDefault="00071935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>Does Port Houston offer websocket streaming in EVP?</w:t>
      </w:r>
    </w:p>
    <w:p w14:paraId="4FCF6581" w14:textId="41F686BC" w:rsidR="00071935" w:rsidRPr="009B4966" w:rsidRDefault="00071935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 xml:space="preserve">Navigate to the “Creating Subscriptions” file the Documentation zip file provide on Port Houston’s Data integration page </w:t>
      </w:r>
      <w:hyperlink r:id="rId12" w:history="1">
        <w:r w:rsidRPr="009B4966">
          <w:rPr>
            <w:color w:val="156082" w:themeColor="accent1"/>
          </w:rPr>
          <w:t>here</w:t>
        </w:r>
      </w:hyperlink>
      <w:r w:rsidRPr="009B4966">
        <w:rPr>
          <w:color w:val="156082" w:themeColor="accent1"/>
        </w:rPr>
        <w:t>.</w:t>
      </w:r>
    </w:p>
    <w:p w14:paraId="5AA7F68D" w14:textId="77777777" w:rsidR="009B4966" w:rsidRPr="009B4966" w:rsidRDefault="009B4966" w:rsidP="009B4966">
      <w:pPr>
        <w:pStyle w:val="ListParagraph"/>
        <w:ind w:left="1440"/>
      </w:pPr>
    </w:p>
    <w:p w14:paraId="56091A85" w14:textId="0DDE00C7" w:rsidR="00071935" w:rsidRPr="009B4966" w:rsidRDefault="009B4966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>Why doesn’t the API link open in my browser?</w:t>
      </w:r>
    </w:p>
    <w:p w14:paraId="19C5B3E7" w14:textId="7391B09D" w:rsidR="009B4966" w:rsidRPr="009B4966" w:rsidRDefault="009B4966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>The link</w:t>
      </w:r>
      <w:r w:rsidRPr="009B4966">
        <w:rPr>
          <w:color w:val="156082" w:themeColor="accent1"/>
        </w:rPr>
        <w:t xml:space="preserve"> provided</w:t>
      </w:r>
      <w:r w:rsidRPr="009B4966">
        <w:rPr>
          <w:color w:val="156082" w:themeColor="accent1"/>
        </w:rPr>
        <w:t xml:space="preserve"> is an API</w:t>
      </w:r>
      <w:r w:rsidRPr="009B4966">
        <w:rPr>
          <w:color w:val="156082" w:themeColor="accent1"/>
        </w:rPr>
        <w:t xml:space="preserve"> base URL</w:t>
      </w:r>
      <w:r w:rsidRPr="009B4966">
        <w:rPr>
          <w:color w:val="156082" w:themeColor="accent1"/>
        </w:rPr>
        <w:t>, not a customer-facing website. It won’t display anything in a browser. To access it, you’ll need to use an API tool (such as Postman) and include the required authentication and request parameters.</w:t>
      </w:r>
    </w:p>
    <w:sectPr w:rsidR="009B4966" w:rsidRPr="009B4966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540A8" w14:textId="77777777" w:rsidR="00F226E7" w:rsidRDefault="00F226E7" w:rsidP="00F226E7">
      <w:pPr>
        <w:spacing w:after="0" w:line="240" w:lineRule="auto"/>
      </w:pPr>
      <w:r>
        <w:separator/>
      </w:r>
    </w:p>
  </w:endnote>
  <w:endnote w:type="continuationSeparator" w:id="0">
    <w:p w14:paraId="76BBF69D" w14:textId="77777777" w:rsidR="00F226E7" w:rsidRDefault="00F226E7" w:rsidP="00F2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38BA" w14:textId="77777777" w:rsidR="00F226E7" w:rsidRDefault="00F226E7" w:rsidP="00F226E7">
      <w:pPr>
        <w:spacing w:after="0" w:line="240" w:lineRule="auto"/>
      </w:pPr>
      <w:r>
        <w:separator/>
      </w:r>
    </w:p>
  </w:footnote>
  <w:footnote w:type="continuationSeparator" w:id="0">
    <w:p w14:paraId="3321CB3C" w14:textId="77777777" w:rsidR="00F226E7" w:rsidRDefault="00F226E7" w:rsidP="00F22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9D655" w14:textId="1F9189E5" w:rsidR="00F226E7" w:rsidRDefault="00F226E7">
    <w:pPr>
      <w:pStyle w:val="Header"/>
    </w:pPr>
  </w:p>
  <w:tbl>
    <w:tblPr>
      <w:tblW w:w="102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878"/>
      <w:gridCol w:w="894"/>
      <w:gridCol w:w="1488"/>
      <w:gridCol w:w="1260"/>
      <w:gridCol w:w="2306"/>
      <w:gridCol w:w="2425"/>
    </w:tblGrid>
    <w:tr w:rsidR="00F226E7" w:rsidRPr="0098009B" w14:paraId="1DAB0324" w14:textId="77777777" w:rsidTr="00366DEC">
      <w:trPr>
        <w:cantSplit/>
        <w:jc w:val="center"/>
      </w:trPr>
      <w:tc>
        <w:tcPr>
          <w:tcW w:w="2772" w:type="dxa"/>
          <w:gridSpan w:val="2"/>
          <w:vMerge w:val="restart"/>
          <w:vAlign w:val="center"/>
        </w:tcPr>
        <w:p w14:paraId="7FC050E5" w14:textId="77777777" w:rsidR="00F226E7" w:rsidRPr="0098009B" w:rsidRDefault="00F226E7" w:rsidP="00F226E7">
          <w:pPr>
            <w:pStyle w:val="Header"/>
            <w:jc w:val="center"/>
            <w:rPr>
              <w:rFonts w:ascii="Arial Narrow" w:hAnsi="Arial Narrow"/>
              <w:sz w:val="18"/>
            </w:rPr>
          </w:pPr>
          <w:r>
            <w:rPr>
              <w:noProof/>
            </w:rPr>
            <w:drawing>
              <wp:inline distT="0" distB="0" distL="0" distR="0" wp14:anchorId="084C8986" wp14:editId="7B44977E">
                <wp:extent cx="1623060" cy="475615"/>
                <wp:effectExtent l="0" t="0" r="0" b="635"/>
                <wp:docPr id="1267275564" name="Picture 2" descr="Port Houst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rt Houst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3060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54" w:type="dxa"/>
          <w:gridSpan w:val="3"/>
          <w:vMerge w:val="restart"/>
          <w:vAlign w:val="center"/>
        </w:tcPr>
        <w:p w14:paraId="0FEC4F1D" w14:textId="77777777" w:rsidR="00F226E7" w:rsidRPr="00ED505C" w:rsidRDefault="00F226E7" w:rsidP="00F226E7">
          <w:pPr>
            <w:pStyle w:val="Header"/>
            <w:jc w:val="center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Port of Houston Authority</w:t>
          </w:r>
        </w:p>
        <w:p w14:paraId="77A3D0FE" w14:textId="141B380A" w:rsidR="00F226E7" w:rsidRPr="00ED505C" w:rsidRDefault="00F226E7" w:rsidP="00F226E7">
          <w:pPr>
            <w:pStyle w:val="Header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&lt;&lt;EVP FAQ’S&gt;&gt;</w:t>
          </w:r>
        </w:p>
      </w:tc>
      <w:tc>
        <w:tcPr>
          <w:tcW w:w="2425" w:type="dxa"/>
        </w:tcPr>
        <w:p w14:paraId="629588B9" w14:textId="77777777" w:rsidR="00F226E7" w:rsidRPr="006C24ED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Document</w:t>
          </w:r>
          <w:r w:rsidRPr="006C24ED">
            <w:rPr>
              <w:rFonts w:ascii="Arial" w:hAnsi="Arial" w:cs="Arial"/>
              <w:b/>
              <w:sz w:val="18"/>
            </w:rPr>
            <w:t xml:space="preserve">: </w:t>
          </w:r>
        </w:p>
      </w:tc>
    </w:tr>
    <w:tr w:rsidR="00F226E7" w:rsidRPr="0098009B" w14:paraId="7747F358" w14:textId="77777777" w:rsidTr="00366DEC">
      <w:trPr>
        <w:cantSplit/>
        <w:jc w:val="center"/>
      </w:trPr>
      <w:tc>
        <w:tcPr>
          <w:tcW w:w="2772" w:type="dxa"/>
          <w:gridSpan w:val="2"/>
          <w:vMerge/>
        </w:tcPr>
        <w:p w14:paraId="44A43F10" w14:textId="77777777" w:rsidR="00F226E7" w:rsidRPr="0098009B" w:rsidRDefault="00F226E7" w:rsidP="00F226E7">
          <w:pPr>
            <w:pStyle w:val="Header"/>
            <w:rPr>
              <w:rFonts w:ascii="Arial Narrow" w:hAnsi="Arial Narrow"/>
              <w:sz w:val="18"/>
            </w:rPr>
          </w:pPr>
        </w:p>
      </w:tc>
      <w:tc>
        <w:tcPr>
          <w:tcW w:w="5054" w:type="dxa"/>
          <w:gridSpan w:val="3"/>
          <w:vMerge/>
        </w:tcPr>
        <w:p w14:paraId="6C14317C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2425" w:type="dxa"/>
        </w:tcPr>
        <w:p w14:paraId="5DBB58BB" w14:textId="77777777" w:rsidR="00F226E7" w:rsidRPr="006C24ED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6C24ED">
            <w:rPr>
              <w:rFonts w:ascii="Arial" w:hAnsi="Arial" w:cs="Arial"/>
              <w:b/>
              <w:sz w:val="18"/>
            </w:rPr>
            <w:t>Revision No.:</w:t>
          </w:r>
          <w:r>
            <w:rPr>
              <w:rFonts w:ascii="Arial" w:hAnsi="Arial" w:cs="Arial"/>
              <w:sz w:val="18"/>
            </w:rPr>
            <w:t xml:space="preserve">  1</w:t>
          </w:r>
          <w:r w:rsidRPr="006C24ED">
            <w:rPr>
              <w:rFonts w:ascii="Arial" w:hAnsi="Arial" w:cs="Arial"/>
              <w:sz w:val="18"/>
            </w:rPr>
            <w:t xml:space="preserve"> </w:t>
          </w:r>
        </w:p>
      </w:tc>
    </w:tr>
    <w:tr w:rsidR="00F226E7" w:rsidRPr="0098009B" w14:paraId="394E8CEB" w14:textId="77777777" w:rsidTr="00366DEC">
      <w:trPr>
        <w:cantSplit/>
        <w:jc w:val="center"/>
      </w:trPr>
      <w:tc>
        <w:tcPr>
          <w:tcW w:w="2772" w:type="dxa"/>
          <w:gridSpan w:val="2"/>
          <w:vMerge/>
        </w:tcPr>
        <w:p w14:paraId="1E4F6903" w14:textId="77777777" w:rsidR="00F226E7" w:rsidRPr="0098009B" w:rsidRDefault="00F226E7" w:rsidP="00F226E7">
          <w:pPr>
            <w:pStyle w:val="Header"/>
            <w:rPr>
              <w:rFonts w:ascii="Arial Narrow" w:hAnsi="Arial Narrow"/>
              <w:sz w:val="18"/>
            </w:rPr>
          </w:pPr>
        </w:p>
      </w:tc>
      <w:tc>
        <w:tcPr>
          <w:tcW w:w="5054" w:type="dxa"/>
          <w:gridSpan w:val="3"/>
          <w:vMerge/>
        </w:tcPr>
        <w:p w14:paraId="677C5D3F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2425" w:type="dxa"/>
        </w:tcPr>
        <w:p w14:paraId="29122CD4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Pa</w:t>
          </w:r>
          <w:r w:rsidRPr="00ED505C">
            <w:rPr>
              <w:rFonts w:ascii="Arial" w:hAnsi="Arial" w:cs="Arial"/>
              <w:b/>
              <w:sz w:val="18"/>
            </w:rPr>
            <w:t>ge:</w:t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begin"/>
          </w:r>
          <w:r w:rsidRPr="00ED505C">
            <w:rPr>
              <w:rStyle w:val="PageNumber"/>
              <w:rFonts w:ascii="Arial" w:hAnsi="Arial" w:cs="Arial"/>
              <w:sz w:val="18"/>
            </w:rPr>
            <w:instrText xml:space="preserve"> PAGE </w:instrTex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separate"/>
          </w:r>
          <w:r>
            <w:rPr>
              <w:rStyle w:val="PageNumber"/>
              <w:rFonts w:ascii="Arial" w:hAnsi="Arial" w:cs="Arial"/>
              <w:sz w:val="18"/>
            </w:rPr>
            <w:t>1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end"/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>
            <w:rPr>
              <w:rFonts w:ascii="Arial" w:hAnsi="Arial" w:cs="Arial"/>
              <w:sz w:val="18"/>
            </w:rPr>
            <w:t>of</w:t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begin"/>
          </w:r>
          <w:r w:rsidRPr="00ED505C">
            <w:rPr>
              <w:rStyle w:val="PageNumber"/>
              <w:rFonts w:ascii="Arial" w:hAnsi="Arial" w:cs="Arial"/>
              <w:sz w:val="18"/>
            </w:rPr>
            <w:instrText xml:space="preserve"> NUMPAGES </w:instrTex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separate"/>
          </w:r>
          <w:r>
            <w:rPr>
              <w:rStyle w:val="PageNumber"/>
              <w:rFonts w:ascii="Arial" w:hAnsi="Arial" w:cs="Arial"/>
              <w:sz w:val="18"/>
            </w:rPr>
            <w:t>1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end"/>
          </w:r>
        </w:p>
      </w:tc>
    </w:tr>
    <w:tr w:rsidR="00F226E7" w:rsidRPr="008F23F9" w14:paraId="0E1BE22A" w14:textId="77777777" w:rsidTr="00366DEC">
      <w:trPr>
        <w:cantSplit/>
        <w:jc w:val="center"/>
      </w:trPr>
      <w:tc>
        <w:tcPr>
          <w:tcW w:w="10251" w:type="dxa"/>
          <w:gridSpan w:val="6"/>
        </w:tcPr>
        <w:p w14:paraId="1580ED4A" w14:textId="77777777" w:rsidR="00F226E7" w:rsidRPr="00454C9D" w:rsidRDefault="00F226E7" w:rsidP="00F226E7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</w:tr>
    <w:tr w:rsidR="00F226E7" w:rsidRPr="00ED505C" w14:paraId="72C6F9C1" w14:textId="77777777" w:rsidTr="00366DEC">
      <w:trPr>
        <w:cantSplit/>
        <w:jc w:val="center"/>
      </w:trPr>
      <w:tc>
        <w:tcPr>
          <w:tcW w:w="1878" w:type="dxa"/>
        </w:tcPr>
        <w:p w14:paraId="5EC01429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Created by:</w:t>
          </w:r>
        </w:p>
      </w:tc>
      <w:tc>
        <w:tcPr>
          <w:tcW w:w="2382" w:type="dxa"/>
          <w:gridSpan w:val="2"/>
        </w:tcPr>
        <w:p w14:paraId="09D25DDC" w14:textId="77777777" w:rsidR="00F226E7" w:rsidRPr="00554314" w:rsidRDefault="00F226E7" w:rsidP="00F226E7">
          <w:pPr>
            <w:pStyle w:val="Header"/>
            <w:rPr>
              <w:rFonts w:ascii="Arial" w:hAnsi="Arial" w:cs="Arial"/>
              <w:i/>
              <w:sz w:val="18"/>
            </w:rPr>
          </w:pPr>
        </w:p>
      </w:tc>
      <w:tc>
        <w:tcPr>
          <w:tcW w:w="1260" w:type="dxa"/>
        </w:tcPr>
        <w:p w14:paraId="66678927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POSITION:</w:t>
          </w:r>
        </w:p>
      </w:tc>
      <w:tc>
        <w:tcPr>
          <w:tcW w:w="2306" w:type="dxa"/>
        </w:tcPr>
        <w:p w14:paraId="2D057AE8" w14:textId="77777777" w:rsidR="00F226E7" w:rsidRPr="00567B0F" w:rsidRDefault="00F226E7" w:rsidP="00F226E7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  <w:tc>
        <w:tcPr>
          <w:tcW w:w="2425" w:type="dxa"/>
        </w:tcPr>
        <w:p w14:paraId="4648D2AC" w14:textId="454BDFA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Issue Date:</w:t>
          </w:r>
          <w:r>
            <w:rPr>
              <w:rFonts w:ascii="Arial" w:hAnsi="Arial" w:cs="Arial"/>
              <w:b/>
              <w:sz w:val="18"/>
            </w:rPr>
            <w:t xml:space="preserve"> 4/9/2026</w:t>
          </w:r>
          <w:r w:rsidRPr="00ED505C">
            <w:rPr>
              <w:rFonts w:ascii="Arial" w:hAnsi="Arial" w:cs="Arial"/>
              <w:b/>
              <w:sz w:val="18"/>
            </w:rPr>
            <w:tab/>
          </w:r>
        </w:p>
      </w:tc>
    </w:tr>
    <w:tr w:rsidR="00F226E7" w:rsidRPr="00ED505C" w14:paraId="4801CE1A" w14:textId="77777777" w:rsidTr="00366DEC">
      <w:trPr>
        <w:cantSplit/>
        <w:jc w:val="center"/>
      </w:trPr>
      <w:tc>
        <w:tcPr>
          <w:tcW w:w="1878" w:type="dxa"/>
        </w:tcPr>
        <w:p w14:paraId="5668692F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Approved by:</w:t>
          </w:r>
        </w:p>
      </w:tc>
      <w:tc>
        <w:tcPr>
          <w:tcW w:w="2382" w:type="dxa"/>
          <w:gridSpan w:val="2"/>
        </w:tcPr>
        <w:p w14:paraId="7E980484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1260" w:type="dxa"/>
        </w:tcPr>
        <w:p w14:paraId="28F230FE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POSITION:</w:t>
          </w:r>
        </w:p>
      </w:tc>
      <w:tc>
        <w:tcPr>
          <w:tcW w:w="2306" w:type="dxa"/>
        </w:tcPr>
        <w:p w14:paraId="6E4E4F9F" w14:textId="77777777" w:rsidR="00F226E7" w:rsidRPr="00567B0F" w:rsidRDefault="00F226E7" w:rsidP="00F226E7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  <w:tc>
        <w:tcPr>
          <w:tcW w:w="2425" w:type="dxa"/>
        </w:tcPr>
        <w:p w14:paraId="4D516E50" w14:textId="77777777" w:rsidR="00F226E7" w:rsidRPr="00554314" w:rsidRDefault="00F226E7" w:rsidP="00F226E7">
          <w:pPr>
            <w:pStyle w:val="Header"/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4E832AFA" w14:textId="6D242AF9" w:rsidR="00F226E7" w:rsidRDefault="00F226E7">
    <w:pPr>
      <w:pStyle w:val="Header"/>
    </w:pPr>
  </w:p>
  <w:p w14:paraId="6380E185" w14:textId="77777777" w:rsidR="00F226E7" w:rsidRDefault="00F22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B4D8A"/>
    <w:multiLevelType w:val="multilevel"/>
    <w:tmpl w:val="E5C8B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36888"/>
    <w:multiLevelType w:val="multilevel"/>
    <w:tmpl w:val="E63A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7B4DC8"/>
    <w:multiLevelType w:val="multilevel"/>
    <w:tmpl w:val="4C3E5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A9693A"/>
    <w:multiLevelType w:val="hybridMultilevel"/>
    <w:tmpl w:val="27F2E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A1293"/>
    <w:multiLevelType w:val="multilevel"/>
    <w:tmpl w:val="A620C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C02417"/>
    <w:multiLevelType w:val="hybridMultilevel"/>
    <w:tmpl w:val="77687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8170C"/>
    <w:multiLevelType w:val="hybridMultilevel"/>
    <w:tmpl w:val="FC92FE96"/>
    <w:lvl w:ilvl="0" w:tplc="2488B9AE">
      <w:start w:val="7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CB561F"/>
    <w:multiLevelType w:val="hybridMultilevel"/>
    <w:tmpl w:val="7F58C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0062685">
    <w:abstractNumId w:val="5"/>
  </w:num>
  <w:num w:numId="2" w16cid:durableId="2121609473">
    <w:abstractNumId w:val="3"/>
  </w:num>
  <w:num w:numId="3" w16cid:durableId="1128664790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68296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8553075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1365270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4456241">
    <w:abstractNumId w:val="6"/>
  </w:num>
  <w:num w:numId="8" w16cid:durableId="1376734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8E"/>
    <w:rsid w:val="00006C1E"/>
    <w:rsid w:val="0002494C"/>
    <w:rsid w:val="0004404E"/>
    <w:rsid w:val="00070F55"/>
    <w:rsid w:val="00071935"/>
    <w:rsid w:val="00091CE1"/>
    <w:rsid w:val="000F4CE2"/>
    <w:rsid w:val="0017369E"/>
    <w:rsid w:val="0019432B"/>
    <w:rsid w:val="001A0934"/>
    <w:rsid w:val="001E294E"/>
    <w:rsid w:val="001F37BB"/>
    <w:rsid w:val="00227E5F"/>
    <w:rsid w:val="0029510A"/>
    <w:rsid w:val="002C119A"/>
    <w:rsid w:val="00303CD7"/>
    <w:rsid w:val="00352E12"/>
    <w:rsid w:val="00390A59"/>
    <w:rsid w:val="003B4079"/>
    <w:rsid w:val="003F49D7"/>
    <w:rsid w:val="00413683"/>
    <w:rsid w:val="00427A9E"/>
    <w:rsid w:val="00455A5F"/>
    <w:rsid w:val="00462538"/>
    <w:rsid w:val="004E145D"/>
    <w:rsid w:val="004F6575"/>
    <w:rsid w:val="004F7F6B"/>
    <w:rsid w:val="00586C59"/>
    <w:rsid w:val="005C0506"/>
    <w:rsid w:val="00614368"/>
    <w:rsid w:val="00683167"/>
    <w:rsid w:val="00694637"/>
    <w:rsid w:val="00694729"/>
    <w:rsid w:val="0078726A"/>
    <w:rsid w:val="007C076B"/>
    <w:rsid w:val="008064CB"/>
    <w:rsid w:val="008206C6"/>
    <w:rsid w:val="0084511D"/>
    <w:rsid w:val="00874379"/>
    <w:rsid w:val="00882A06"/>
    <w:rsid w:val="00915CBE"/>
    <w:rsid w:val="00996A67"/>
    <w:rsid w:val="009B4966"/>
    <w:rsid w:val="00A05F3E"/>
    <w:rsid w:val="00A6543B"/>
    <w:rsid w:val="00A91CD7"/>
    <w:rsid w:val="00AA7464"/>
    <w:rsid w:val="00AE1D63"/>
    <w:rsid w:val="00AE79EF"/>
    <w:rsid w:val="00B24D6D"/>
    <w:rsid w:val="00BC4BE4"/>
    <w:rsid w:val="00BF55BC"/>
    <w:rsid w:val="00C625BF"/>
    <w:rsid w:val="00CA4EF3"/>
    <w:rsid w:val="00CB1EFB"/>
    <w:rsid w:val="00CC1119"/>
    <w:rsid w:val="00CC7148"/>
    <w:rsid w:val="00CD2525"/>
    <w:rsid w:val="00CD2B8E"/>
    <w:rsid w:val="00D23327"/>
    <w:rsid w:val="00D25FDB"/>
    <w:rsid w:val="00D46F76"/>
    <w:rsid w:val="00E50B2E"/>
    <w:rsid w:val="00E96893"/>
    <w:rsid w:val="00F226E7"/>
    <w:rsid w:val="00FC7CD1"/>
    <w:rsid w:val="00FE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4B37F"/>
  <w15:chartTrackingRefBased/>
  <w15:docId w15:val="{5B0B2C0A-8459-4884-B4A2-2FF1B6745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2B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B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2B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B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B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2B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2B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2B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2B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B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B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2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2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2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2B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2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2B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2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2B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2B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2B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2B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B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2B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2B8E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6A6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96A67"/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unhideWhenUsed/>
    <w:rsid w:val="0099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996A67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996A67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7193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193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F2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26E7"/>
  </w:style>
  <w:style w:type="paragraph" w:styleId="Footer">
    <w:name w:val="footer"/>
    <w:basedOn w:val="Normal"/>
    <w:link w:val="FooterChar"/>
    <w:uiPriority w:val="99"/>
    <w:unhideWhenUsed/>
    <w:rsid w:val="00F2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6E7"/>
  </w:style>
  <w:style w:type="character" w:styleId="PageNumber">
    <w:name w:val="page number"/>
    <w:basedOn w:val="DefaultParagraphFont"/>
    <w:rsid w:val="00F2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2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CBAAB.4DC0D7D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orthouston.com/toolbox/container-terminals/data-integr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houston.com/toolbox/container-terminals/data-integration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cid:image003.png@01DCBAAB.4DC0D7D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591</Words>
  <Characters>3093</Characters>
  <Application>Microsoft Office Word</Application>
  <DocSecurity>0</DocSecurity>
  <Lines>81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Aksoy</dc:creator>
  <cp:keywords/>
  <dc:description/>
  <cp:lastModifiedBy>Mariah K. Smith</cp:lastModifiedBy>
  <cp:revision>52</cp:revision>
  <dcterms:created xsi:type="dcterms:W3CDTF">2025-05-01T20:03:00Z</dcterms:created>
  <dcterms:modified xsi:type="dcterms:W3CDTF">2026-04-09T20:08:00Z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4ec414f9-d63a-481e-9f03-65d22a7aec84</vt:lpwstr>
  </property>
</Properties>
</file>